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DA79">
      <w:pPr>
        <w:spacing w:line="360" w:lineRule="auto"/>
        <w:jc w:val="center"/>
        <w:rPr>
          <w:rFonts w:ascii="华文中宋" w:hAnsi="华文中宋" w:eastAsia="华文中宋" w:cs="宋体"/>
          <w:b w:val="0"/>
          <w:bCs/>
          <w:color w:val="auto"/>
          <w:sz w:val="32"/>
          <w:highlight w:val="none"/>
        </w:rPr>
      </w:pPr>
    </w:p>
    <w:p w14:paraId="028FC421">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成都市成华区第三人民医院</w:t>
      </w:r>
    </w:p>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2024年财务收支审计采购项目</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572BB34D">
      <w:pPr>
        <w:spacing w:line="360" w:lineRule="auto"/>
        <w:jc w:val="center"/>
        <w:rPr>
          <w:rFonts w:hint="default"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CG2025-HQ0</w:t>
      </w:r>
      <w:r>
        <w:rPr>
          <w:rFonts w:hint="eastAsia" w:ascii="华文中宋" w:hAnsi="华文中宋" w:eastAsia="华文中宋" w:cs="宋体"/>
          <w:b w:val="0"/>
          <w:bCs/>
          <w:color w:val="auto"/>
          <w:spacing w:val="40"/>
          <w:sz w:val="32"/>
          <w:highlight w:val="none"/>
          <w:lang w:val="en-US" w:eastAsia="zh-CN"/>
        </w:rPr>
        <w:t>77</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w:t>
      </w:r>
      <w:r>
        <w:rPr>
          <w:rFonts w:hint="eastAsia" w:ascii="华文中宋" w:hAnsi="华文中宋" w:eastAsia="华文中宋" w:cs="宋体"/>
          <w:b w:val="0"/>
          <w:bCs/>
          <w:color w:val="auto"/>
          <w:spacing w:val="40"/>
          <w:sz w:val="32"/>
          <w:highlight w:val="none"/>
          <w:lang w:val="en-US" w:eastAsia="zh-CN"/>
        </w:rPr>
        <w:t>第三</w:t>
      </w:r>
      <w:r>
        <w:rPr>
          <w:rFonts w:hint="eastAsia" w:ascii="华文中宋" w:hAnsi="华文中宋" w:eastAsia="华文中宋" w:cs="宋体"/>
          <w:b w:val="0"/>
          <w:bCs/>
          <w:color w:val="auto"/>
          <w:spacing w:val="40"/>
          <w:sz w:val="32"/>
          <w:highlight w:val="none"/>
          <w:lang w:eastAsia="zh-CN"/>
        </w:rPr>
        <w:t>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五</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十一</w:t>
      </w:r>
      <w:r>
        <w:rPr>
          <w:rFonts w:ascii="华文中宋" w:hAnsi="华文中宋" w:eastAsia="华文中宋" w:cs="宋体"/>
          <w:b w:val="0"/>
          <w:bCs/>
          <w:color w:val="auto"/>
          <w:sz w:val="32"/>
          <w:highlight w:val="none"/>
        </w:rPr>
        <w:t>月</w:t>
      </w:r>
    </w:p>
    <w:p w14:paraId="6FFC1E6B">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2"/>
        <w:jc w:val="center"/>
        <w:rPr>
          <w:rFonts w:ascii="华文中宋" w:hAnsi="华文中宋" w:eastAsia="华文中宋" w:cs="Times New Roman"/>
          <w:b w:val="0"/>
          <w:bCs/>
          <w:color w:val="auto"/>
          <w:highlight w:val="none"/>
        </w:rPr>
      </w:pPr>
      <w:bookmarkStart w:id="0" w:name="_Toc66971932"/>
      <w:bookmarkStart w:id="1" w:name="_Toc686191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before="80" w:after="80" w:line="360" w:lineRule="auto"/>
        <w:ind w:firstLine="480" w:firstLineChars="200"/>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成都市成华区第三人民医院</w:t>
      </w:r>
      <w:r>
        <w:rPr>
          <w:rFonts w:hint="eastAsia" w:ascii="宋体" w:hAnsi="宋体" w:cs="宋体"/>
          <w:b w:val="0"/>
          <w:bCs w:val="0"/>
          <w:kern w:val="0"/>
          <w:sz w:val="24"/>
          <w:szCs w:val="24"/>
          <w:lang w:val="en-US" w:eastAsia="zh-CN"/>
        </w:rPr>
        <w:t>2024年财务收支审计</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1561C3BA">
      <w:pPr>
        <w:numPr>
          <w:ilvl w:val="0"/>
          <w:numId w:val="1"/>
        </w:numPr>
        <w:spacing w:before="80" w:after="80" w:line="360" w:lineRule="auto"/>
        <w:ind w:firstLine="482"/>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成都市成华区第三人民医院</w:t>
      </w:r>
      <w:r>
        <w:rPr>
          <w:rFonts w:hint="eastAsia" w:ascii="宋体" w:hAnsi="宋体" w:cs="宋体"/>
          <w:b w:val="0"/>
          <w:bCs w:val="0"/>
          <w:kern w:val="0"/>
          <w:sz w:val="24"/>
          <w:szCs w:val="24"/>
          <w:lang w:val="en-US" w:eastAsia="zh-CN"/>
        </w:rPr>
        <w:t>2024年财务收支审计采购项目（项目编号CG2025-HQ02</w:t>
      </w: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lang w:eastAsia="zh-CN"/>
        </w:rPr>
        <w:t>）</w:t>
      </w:r>
    </w:p>
    <w:p w14:paraId="406C9121">
      <w:pPr>
        <w:numPr>
          <w:ilvl w:val="0"/>
          <w:numId w:val="1"/>
        </w:numPr>
        <w:spacing w:before="80" w:after="80" w:line="360" w:lineRule="auto"/>
        <w:ind w:firstLine="482"/>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cs="宋体"/>
          <w:i w:val="0"/>
          <w:iCs w:val="0"/>
          <w:color w:val="000000"/>
          <w:kern w:val="0"/>
          <w:sz w:val="24"/>
          <w:szCs w:val="24"/>
          <w:u w:val="none"/>
          <w:lang w:val="en-US" w:eastAsia="zh-CN" w:bidi="ar"/>
        </w:rPr>
        <w:t>完成</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成都市成华区第三人民医院</w:t>
      </w:r>
      <w:r>
        <w:rPr>
          <w:rFonts w:hint="eastAsia" w:ascii="宋体" w:hAnsi="宋体" w:cs="宋体"/>
          <w:i w:val="0"/>
          <w:iCs w:val="0"/>
          <w:color w:val="000000"/>
          <w:kern w:val="0"/>
          <w:sz w:val="24"/>
          <w:szCs w:val="24"/>
          <w:u w:val="none"/>
          <w:lang w:val="en-US" w:eastAsia="zh-CN" w:bidi="ar"/>
        </w:rPr>
        <w:t>2024年度财务收支审计，</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个包, 比选申请人报价</w:t>
      </w:r>
      <w:r>
        <w:rPr>
          <w:rFonts w:hint="eastAsia" w:ascii="宋体" w:hAnsi="宋体" w:eastAsia="宋体" w:cs="宋体"/>
          <w:b w:val="0"/>
          <w:bCs/>
          <w:color w:val="auto"/>
          <w:sz w:val="24"/>
          <w:highlight w:val="none"/>
          <w:lang w:val="en-US" w:eastAsia="zh-CN"/>
        </w:rPr>
        <w:t>最高限价不超过：</w:t>
      </w:r>
      <w:r>
        <w:rPr>
          <w:rFonts w:hint="eastAsia" w:ascii="宋体" w:hAnsi="宋体" w:cs="宋体"/>
          <w:b w:val="0"/>
          <w:bCs w:val="0"/>
          <w:kern w:val="0"/>
          <w:sz w:val="24"/>
          <w:szCs w:val="24"/>
          <w:lang w:val="en-US" w:eastAsia="zh-CN"/>
        </w:rPr>
        <w:t>41000.00</w:t>
      </w:r>
      <w:r>
        <w:rPr>
          <w:rFonts w:hint="eastAsia" w:ascii="宋体" w:hAnsi="宋体" w:eastAsia="宋体" w:cs="宋体"/>
          <w:b w:val="0"/>
          <w:bCs/>
          <w:color w:val="000000" w:themeColor="text1"/>
          <w:sz w:val="24"/>
          <w:highlight w:val="none"/>
          <w:lang w:val="en-US" w:eastAsia="zh-CN"/>
          <w14:textFill>
            <w14:solidFill>
              <w14:schemeClr w14:val="tx1"/>
            </w14:solidFill>
          </w14:textFill>
        </w:rPr>
        <w:t>元。</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3268D52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8、具有会计师事务所执业证书</w:t>
      </w:r>
    </w:p>
    <w:p w14:paraId="754E02F4">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bookmarkStart w:id="17" w:name="_GoBack"/>
      <w:bookmarkEnd w:id="17"/>
    </w:p>
    <w:p w14:paraId="7D651C7A">
      <w:pPr>
        <w:spacing w:before="80" w:after="80" w:line="360" w:lineRule="auto"/>
        <w:ind w:firstLine="480" w:firstLineChars="200"/>
        <w:rPr>
          <w:rFonts w:hint="eastAsia" w:ascii="Times New Roman" w:hAnsi="Times New Roman" w:eastAsia="宋体" w:cs="Times New Roman"/>
          <w:b w:val="0"/>
          <w:bCs/>
          <w:color w:val="auto"/>
          <w:sz w:val="24"/>
          <w:highlight w:val="none"/>
          <w:u w:val="single"/>
          <w:lang w:val="en-US" w:eastAsia="zh-CN"/>
        </w:rPr>
      </w:pP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5</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11月11日12: 00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0F1782B6">
      <w:pPr>
        <w:spacing w:before="80" w:after="80" w:line="360" w:lineRule="auto"/>
        <w:ind w:firstLine="480" w:firstLineChars="200"/>
        <w:rPr>
          <w:rFonts w:hint="eastAsia" w:ascii="宋体" w:hAnsi="宋体" w:eastAsia="宋体" w:cs="宋体"/>
          <w:b w:val="0"/>
          <w:bCs/>
          <w:color w:val="auto"/>
          <w:sz w:val="24"/>
          <w:highlight w:val="none"/>
          <w:u w:val="single"/>
          <w:lang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80" w:after="80" w:line="360" w:lineRule="auto"/>
        <w:ind w:firstLine="480" w:firstLineChars="200"/>
        <w:jc w:val="left"/>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eastAsia="zh-CN"/>
        </w:rPr>
        <w:t>三医院官网（https://www.chqsyy.cn）</w:t>
      </w:r>
      <w:r>
        <w:rPr>
          <w:rFonts w:hint="eastAsia" w:ascii="宋体" w:hAnsi="宋体" w:eastAsia="宋体" w:cs="宋体"/>
          <w:b w:val="0"/>
          <w:bCs/>
          <w:color w:val="auto"/>
          <w:sz w:val="24"/>
          <w:highlight w:val="none"/>
        </w:rPr>
        <w:t>以公告形式发布。</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1EE1037A">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成都市成华区第三人民医院</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3"/>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468783D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3.2.3 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3"/>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2"/>
        <w:jc w:val="center"/>
        <w:rPr>
          <w:rFonts w:ascii="华文中宋" w:hAnsi="华文中宋" w:eastAsia="华文中宋" w:cs="宋体"/>
          <w:b w:val="0"/>
          <w:bCs/>
          <w:color w:val="auto"/>
          <w:highlight w:val="none"/>
        </w:rPr>
      </w:pPr>
      <w:bookmarkStart w:id="3" w:name="_Toc66971933"/>
      <w:bookmarkStart w:id="4" w:name="_Toc686191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3"/>
        <w:rPr>
          <w:rFonts w:ascii="Arial" w:hAnsi="Arial" w:eastAsia="黑体"/>
          <w:b w:val="0"/>
          <w:bCs/>
          <w:color w:val="auto"/>
          <w:highlight w:val="none"/>
        </w:rPr>
      </w:pPr>
      <w:r>
        <w:rPr>
          <w:rFonts w:ascii="Arial" w:hAnsi="Arial" w:eastAsia="黑体"/>
          <w:b w:val="0"/>
          <w:bCs/>
          <w:color w:val="auto"/>
          <w:highlight w:val="none"/>
        </w:rPr>
        <w:br w:type="page"/>
      </w:r>
      <w:bookmarkStart w:id="5" w:name="_Toc179632812"/>
      <w:bookmarkStart w:id="6" w:name="_Toc246997103"/>
      <w:bookmarkStart w:id="7" w:name="_Toc247085878"/>
      <w:bookmarkStart w:id="8" w:name="_Toc152045792"/>
      <w:bookmarkStart w:id="9" w:name="_Toc152042581"/>
      <w:bookmarkStart w:id="10" w:name="_Toc144974861"/>
      <w:bookmarkStart w:id="11" w:name="_Toc246996360"/>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2"/>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4F03A224">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i w:val="0"/>
          <w:iCs w:val="0"/>
          <w:color w:val="auto"/>
          <w:kern w:val="0"/>
          <w:sz w:val="24"/>
          <w:szCs w:val="24"/>
          <w:u w:val="none"/>
          <w:lang w:val="en-US" w:eastAsia="zh-CN" w:bidi="ar"/>
        </w:rPr>
        <w:t>项目名称：</w:t>
      </w:r>
      <w: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t>成都市成华区第三人民医院</w:t>
      </w:r>
      <w:r>
        <w:rPr>
          <w:rFonts w:hint="eastAsia" w:ascii="宋体" w:hAnsi="宋体" w:cs="宋体"/>
          <w:b w:val="0"/>
          <w:bCs w:val="0"/>
          <w:kern w:val="0"/>
          <w:sz w:val="24"/>
          <w:szCs w:val="24"/>
          <w:lang w:val="en-US" w:eastAsia="zh-CN"/>
        </w:rPr>
        <w:t>2024年财务收支审计</w:t>
      </w:r>
      <w: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t>采购项目</w:t>
      </w:r>
    </w:p>
    <w:p w14:paraId="3C06641D">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p>
    <w:p w14:paraId="325EE0EC">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p>
    <w:p w14:paraId="612E111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t>成都市成华区第三人民医院</w:t>
      </w:r>
      <w:r>
        <w:rPr>
          <w:rFonts w:hint="eastAsia" w:ascii="宋体" w:hAnsi="宋体" w:cs="宋体"/>
          <w:b w:val="0"/>
          <w:bCs w:val="0"/>
          <w:kern w:val="0"/>
          <w:sz w:val="24"/>
          <w:szCs w:val="24"/>
          <w:lang w:val="en-US" w:eastAsia="zh-CN"/>
        </w:rPr>
        <w:t>2024年财务收支审计</w:t>
      </w:r>
      <w: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t>采购项目活动报价：</w:t>
      </w:r>
    </w:p>
    <w:p w14:paraId="3B0B0F01">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pPr>
    </w:p>
    <w:tbl>
      <w:tblPr>
        <w:tblStyle w:val="20"/>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0"/>
      </w:tblGrid>
      <w:tr w14:paraId="16B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820" w:type="dxa"/>
            <w:shd w:val="clear" w:color="auto" w:fill="auto"/>
            <w:noWrap/>
            <w:vAlign w:val="center"/>
          </w:tcPr>
          <w:p w14:paraId="5D0539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合计小写金额：XX元</w:t>
            </w:r>
          </w:p>
        </w:tc>
      </w:tr>
    </w:tbl>
    <w:p w14:paraId="1B68228D">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F79646" w:themeColor="accent6"/>
          <w:kern w:val="0"/>
          <w:sz w:val="24"/>
          <w:szCs w:val="24"/>
          <w:u w:val="none"/>
          <w:lang w:val="en-US" w:eastAsia="zh-CN" w:bidi="ar"/>
          <w14:textFill>
            <w14:solidFill>
              <w14:schemeClr w14:val="accent6"/>
            </w14:solidFill>
          </w14:textFill>
        </w:rPr>
      </w:pPr>
    </w:p>
    <w:tbl>
      <w:tblPr>
        <w:tblStyle w:val="20"/>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0"/>
      </w:tblGrid>
      <w:tr w14:paraId="0943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820" w:type="dxa"/>
            <w:shd w:val="clear" w:color="auto" w:fill="auto"/>
            <w:noWrap/>
            <w:vAlign w:val="center"/>
          </w:tcPr>
          <w:p w14:paraId="3C08A588">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合计大写金额：XX元</w:t>
            </w:r>
          </w:p>
        </w:tc>
      </w:tr>
      <w:tr w14:paraId="3F41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820" w:type="dxa"/>
            <w:shd w:val="clear" w:color="auto" w:fill="auto"/>
            <w:noWrap/>
            <w:vAlign w:val="center"/>
          </w:tcPr>
          <w:p w14:paraId="4BCF8D46">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p>
        </w:tc>
      </w:tr>
    </w:tbl>
    <w:p w14:paraId="659167FE">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eastAsia"/>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比选申请人应按报价函进行报价，比选申请人结算金额不超预算价。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19F8D363">
      <w:pPr>
        <w:ind w:firstLine="540"/>
        <w:rPr>
          <w:rFonts w:cs="Times New Roman"/>
          <w:b w:val="0"/>
          <w:bCs/>
          <w:color w:val="auto"/>
        </w:rPr>
        <w:sectPr>
          <w:footerReference r:id="rId5" w:type="default"/>
          <w:pgSz w:w="11906" w:h="16838"/>
          <w:pgMar w:top="1440" w:right="1797" w:bottom="1440" w:left="1797" w:header="851" w:footer="992" w:gutter="0"/>
          <w:cols w:space="425" w:num="1"/>
          <w:docGrid w:type="linesAndChars" w:linePitch="312" w:charSpace="0"/>
        </w:sectPr>
      </w:pPr>
    </w:p>
    <w:p w14:paraId="1737DB6A">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0"/>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章商务要求、技术服务要求的内容有偏离(包括正偏离和负偏离)，请将偏离条款逐条应答。</w:t>
      </w:r>
      <w:r>
        <w:rPr>
          <w:rFonts w:cs="Times New Roman"/>
          <w:b/>
          <w:bCs/>
          <w:color w:val="auto"/>
        </w:rPr>
        <w:t>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2"/>
        <w:jc w:val="center"/>
        <w:rPr>
          <w:rFonts w:ascii="华文中宋" w:hAnsi="华文中宋" w:eastAsia="华文中宋" w:cs="宋体"/>
          <w:b w:val="0"/>
          <w:bCs/>
          <w:color w:val="auto"/>
          <w:highlight w:val="none"/>
        </w:rPr>
      </w:pPr>
      <w:bookmarkStart w:id="12" w:name="_Toc68619134"/>
      <w:bookmarkStart w:id="13" w:name="_Toc669719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6F780EF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5A58DF1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8、具有会计师事务所执业证书</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auto"/>
          <w:sz w:val="24"/>
          <w:highlight w:val="none"/>
          <w:lang w:val="en-US" w:eastAsia="zh-CN"/>
        </w:rPr>
      </w:pP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650B739A">
      <w:pPr>
        <w:spacing w:before="80" w:after="80" w:line="360" w:lineRule="auto"/>
        <w:ind w:firstLine="480" w:firstLineChars="200"/>
        <w:rPr>
          <w:rFonts w:hint="eastAsia"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3974D1FA">
      <w:pPr>
        <w:spacing w:before="80" w:after="80" w:line="360" w:lineRule="auto"/>
        <w:ind w:firstLine="480" w:firstLineChars="200"/>
        <w:rPr>
          <w:rFonts w:hint="eastAsia" w:cs="宋体" w:asciiTheme="minorEastAsia" w:hAnsiTheme="minorEastAsia" w:eastAsiaTheme="minorEastAsia"/>
          <w:b w:val="0"/>
          <w:bCs/>
          <w:color w:val="auto"/>
          <w:sz w:val="24"/>
          <w:szCs w:val="24"/>
          <w:highlight w:val="none"/>
          <w:lang w:val="en-US" w:eastAsia="zh-CN"/>
        </w:rPr>
      </w:pP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2"/>
        <w:jc w:val="center"/>
        <w:rPr>
          <w:rFonts w:ascii="华文中宋" w:hAnsi="华文中宋" w:eastAsia="华文中宋" w:cs="宋体"/>
          <w:b w:val="0"/>
          <w:bCs/>
          <w:color w:val="auto"/>
          <w:highlight w:val="none"/>
        </w:rPr>
      </w:pPr>
      <w:bookmarkStart w:id="14" w:name="_Toc66971936"/>
      <w:bookmarkStart w:id="15" w:name="_Toc686191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58FEB7">
            <w:pPr>
              <w:pStyle w:val="38"/>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38"/>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38"/>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38"/>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38"/>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38"/>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38"/>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31CB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47" w:type="dxa"/>
            <w:vAlign w:val="center"/>
          </w:tcPr>
          <w:p w14:paraId="66795468">
            <w:pPr>
              <w:pStyle w:val="38"/>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BFB4C1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具有会计师事务所执业证书</w:t>
            </w:r>
          </w:p>
        </w:tc>
        <w:tc>
          <w:tcPr>
            <w:tcW w:w="1639" w:type="dxa"/>
            <w:vAlign w:val="center"/>
          </w:tcPr>
          <w:p w14:paraId="74ACB542">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38"/>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38"/>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38"/>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38"/>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cs="宋体" w:asciiTheme="minorEastAsia" w:hAnsiTheme="minorEastAsia"/>
                <w:b w:val="0"/>
                <w:bCs/>
                <w:color w:val="auto"/>
                <w:sz w:val="22"/>
                <w:highlight w:val="none"/>
              </w:rPr>
            </w:pPr>
            <w:r>
              <w:rPr>
                <w:rFonts w:hint="eastAsia" w:cs="宋体" w:asciiTheme="minorEastAsia" w:hAnsiTheme="minorEastAsia"/>
                <w:b w:val="0"/>
                <w:bCs/>
                <w:color w:val="auto"/>
                <w:sz w:val="22"/>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752E88F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定标及定标程序</w:t>
      </w: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7D2353B6">
      <w:pPr>
        <w:pStyle w:val="3"/>
        <w:jc w:val="both"/>
        <w:rPr>
          <w:rFonts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评分标准</w:t>
      </w:r>
      <w:bookmarkEnd w:id="16"/>
    </w:p>
    <w:tbl>
      <w:tblPr>
        <w:tblStyle w:val="20"/>
        <w:tblpPr w:leftFromText="180" w:rightFromText="180" w:vertAnchor="text" w:horzAnchor="page" w:tblpX="1778" w:tblpY="272"/>
        <w:tblOverlap w:val="never"/>
        <w:tblW w:w="51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
        <w:gridCol w:w="754"/>
        <w:gridCol w:w="457"/>
        <w:gridCol w:w="5497"/>
        <w:gridCol w:w="895"/>
        <w:gridCol w:w="733"/>
      </w:tblGrid>
      <w:tr w14:paraId="6C51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 w:type="pct"/>
            <w:vMerge w:val="restart"/>
            <w:tcBorders>
              <w:top w:val="single" w:color="000000" w:sz="4" w:space="0"/>
              <w:left w:val="single" w:color="000000" w:sz="4" w:space="0"/>
              <w:bottom w:val="single" w:color="000000" w:sz="4" w:space="0"/>
              <w:right w:val="single" w:color="000000" w:sz="4" w:space="0"/>
            </w:tcBorders>
            <w:noWrap w:val="0"/>
            <w:vAlign w:val="center"/>
          </w:tcPr>
          <w:p w14:paraId="5CD73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29" w:type="pct"/>
            <w:vMerge w:val="restart"/>
            <w:tcBorders>
              <w:top w:val="single" w:color="000000" w:sz="4" w:space="0"/>
              <w:left w:val="single" w:color="000000" w:sz="4" w:space="0"/>
              <w:bottom w:val="single" w:color="000000" w:sz="4" w:space="0"/>
              <w:right w:val="single" w:color="000000" w:sz="4" w:space="0"/>
            </w:tcBorders>
            <w:noWrap w:val="0"/>
            <w:vAlign w:val="center"/>
          </w:tcPr>
          <w:p w14:paraId="34E4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2269A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3127" w:type="pct"/>
            <w:vMerge w:val="restart"/>
            <w:tcBorders>
              <w:top w:val="single" w:color="000000" w:sz="4" w:space="0"/>
              <w:left w:val="single" w:color="000000" w:sz="4" w:space="0"/>
              <w:bottom w:val="single" w:color="000000" w:sz="4" w:space="0"/>
              <w:right w:val="single" w:color="000000" w:sz="4" w:space="0"/>
            </w:tcBorders>
            <w:noWrap w:val="0"/>
            <w:vAlign w:val="center"/>
          </w:tcPr>
          <w:p w14:paraId="5E920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509" w:type="pct"/>
            <w:vMerge w:val="restart"/>
            <w:tcBorders>
              <w:top w:val="single" w:color="000000" w:sz="4" w:space="0"/>
              <w:left w:val="single" w:color="000000" w:sz="4" w:space="0"/>
              <w:bottom w:val="single" w:color="000000" w:sz="4" w:space="0"/>
              <w:right w:val="single" w:color="000000" w:sz="4" w:space="0"/>
            </w:tcBorders>
            <w:noWrap w:val="0"/>
            <w:vAlign w:val="center"/>
          </w:tcPr>
          <w:p w14:paraId="0EF23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1ABF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3D6C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C07A8F">
            <w:pPr>
              <w:jc w:val="center"/>
              <w:rPr>
                <w:rFonts w:hint="eastAsia" w:ascii="宋体" w:hAnsi="宋体" w:eastAsia="宋体" w:cs="宋体"/>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FD4040">
            <w:pPr>
              <w:jc w:val="center"/>
              <w:rPr>
                <w:rFonts w:hint="eastAsia" w:ascii="宋体" w:hAnsi="宋体" w:eastAsia="宋体" w:cs="宋体"/>
                <w:i w:val="0"/>
                <w:iCs w:val="0"/>
                <w:color w:val="000000"/>
                <w:sz w:val="22"/>
                <w:szCs w:val="22"/>
                <w:u w:val="none"/>
              </w:rPr>
            </w:pPr>
          </w:p>
        </w:tc>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E212A6">
            <w:pPr>
              <w:jc w:val="center"/>
              <w:rPr>
                <w:rFonts w:hint="eastAsia" w:ascii="宋体" w:hAnsi="宋体" w:eastAsia="宋体" w:cs="宋体"/>
                <w:i w:val="0"/>
                <w:iCs w:val="0"/>
                <w:color w:val="000000"/>
                <w:sz w:val="22"/>
                <w:szCs w:val="22"/>
                <w:u w:val="none"/>
              </w:rPr>
            </w:pPr>
          </w:p>
        </w:tc>
        <w:tc>
          <w:tcPr>
            <w:tcW w:w="31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7E3CC9">
            <w:pPr>
              <w:jc w:val="center"/>
              <w:rPr>
                <w:rFonts w:hint="eastAsia" w:ascii="宋体" w:hAnsi="宋体" w:eastAsia="宋体" w:cs="宋体"/>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81EE2">
            <w:pPr>
              <w:jc w:val="center"/>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D286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r>
      <w:tr w14:paraId="0607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3253C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4A9C3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BFF9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3127" w:type="pct"/>
            <w:tcBorders>
              <w:top w:val="single" w:color="000000" w:sz="4" w:space="0"/>
              <w:left w:val="single" w:color="000000" w:sz="4" w:space="0"/>
              <w:bottom w:val="single" w:color="000000" w:sz="4" w:space="0"/>
              <w:right w:val="single" w:color="000000" w:sz="4" w:space="0"/>
            </w:tcBorders>
            <w:noWrap w:val="0"/>
            <w:vAlign w:val="center"/>
          </w:tcPr>
          <w:p w14:paraId="736F9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满足比选文件要求且价格最低的报价为评审基准价，其价格分为满分。其他投标人的价格分统一按照下列公式计算：投标得分=（评审基准价／投标报价）×10×分值。</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9250CF3">
            <w:pPr>
              <w:jc w:val="left"/>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6447A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客观分</w:t>
            </w:r>
          </w:p>
        </w:tc>
      </w:tr>
      <w:tr w14:paraId="53C9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7B44A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3BFA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履约能力</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0258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3127" w:type="pct"/>
            <w:tcBorders>
              <w:top w:val="single" w:color="000000" w:sz="4" w:space="0"/>
              <w:left w:val="single" w:color="000000" w:sz="4" w:space="0"/>
              <w:bottom w:val="single" w:color="000000" w:sz="4" w:space="0"/>
              <w:right w:val="single" w:color="000000" w:sz="4" w:space="0"/>
            </w:tcBorders>
            <w:noWrap w:val="0"/>
            <w:vAlign w:val="center"/>
          </w:tcPr>
          <w:p w14:paraId="5EC12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提供2023年至今财务收支审计、经责审计等业绩（仅限医疗机构），每提供一个得5分，最多得25分。</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E150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需提供带二维码报告首页和签字页（以报告日期为准）（加盖鲜章）</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EEBA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客观分</w:t>
            </w:r>
          </w:p>
        </w:tc>
      </w:tr>
      <w:tr w14:paraId="6A84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7356DA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F40D9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人员配置</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E585A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3127" w:type="pct"/>
            <w:tcBorders>
              <w:top w:val="single" w:color="000000" w:sz="4" w:space="0"/>
              <w:left w:val="single" w:color="000000" w:sz="4" w:space="0"/>
              <w:bottom w:val="single" w:color="000000" w:sz="4" w:space="0"/>
              <w:right w:val="single" w:color="000000" w:sz="4" w:space="0"/>
            </w:tcBorders>
            <w:noWrap w:val="0"/>
            <w:vAlign w:val="center"/>
          </w:tcPr>
          <w:p w14:paraId="53E482A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参选人拟负责本项目的项目负责人需为会计师事务所执业注册会计师，具备注册会计师职业资格15年以上，得15分，项目组成员每增加1名注册会计师得5分，最多10分；</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8E9364C">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提供资质证书复印件、社保证明</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C197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40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55" w:type="pct"/>
            <w:tcBorders>
              <w:top w:val="single" w:color="000000" w:sz="4" w:space="0"/>
              <w:left w:val="single" w:color="000000" w:sz="4" w:space="0"/>
              <w:bottom w:val="single" w:color="000000" w:sz="4" w:space="0"/>
              <w:right w:val="single" w:color="000000" w:sz="4" w:space="0"/>
            </w:tcBorders>
            <w:noWrap w:val="0"/>
            <w:vAlign w:val="center"/>
          </w:tcPr>
          <w:p w14:paraId="159F8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3CE4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服务方案</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7F6EF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40分</w:t>
            </w:r>
          </w:p>
        </w:tc>
        <w:tc>
          <w:tcPr>
            <w:tcW w:w="3127" w:type="pct"/>
            <w:tcBorders>
              <w:top w:val="single" w:color="000000" w:sz="4" w:space="0"/>
              <w:left w:val="single" w:color="000000" w:sz="4" w:space="0"/>
              <w:bottom w:val="single" w:color="000000" w:sz="4" w:space="0"/>
              <w:right w:val="single" w:color="000000" w:sz="4" w:space="0"/>
            </w:tcBorders>
            <w:noWrap w:val="0"/>
            <w:vAlign w:val="center"/>
          </w:tcPr>
          <w:p w14:paraId="4AA76C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供应商针对本项目提供的服务方案包含：</w:t>
            </w:r>
          </w:p>
          <w:p w14:paraId="7CABC2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①整体审计服务方案</w:t>
            </w:r>
          </w:p>
          <w:p w14:paraId="59D3CE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②人员配置及分工</w:t>
            </w:r>
          </w:p>
          <w:p w14:paraId="40B224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③明确的服务周期、驻场安排、后续整改跟踪服务承诺</w:t>
            </w:r>
          </w:p>
          <w:p w14:paraId="71DD9C4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④质量保障措施</w:t>
            </w:r>
          </w:p>
          <w:p w14:paraId="01FB2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方案完全包含以上内容且内容完整的，得40分；每缺少一项内容扣10分，每项方案中存在不足/缺陷的，每个单项分值扣5分。</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ED4466F">
            <w:pPr>
              <w:jc w:val="left"/>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46FE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主观分</w:t>
            </w:r>
          </w:p>
        </w:tc>
      </w:tr>
    </w:tbl>
    <w:p w14:paraId="60878372">
      <w:pPr>
        <w:pStyle w:val="5"/>
        <w:pageBreakBefore w:val="0"/>
        <w:widowControl w:val="0"/>
        <w:numPr>
          <w:ilvl w:val="0"/>
          <w:numId w:val="0"/>
        </w:numPr>
        <w:kinsoku/>
        <w:wordWrap/>
        <w:overflowPunct/>
        <w:topLinePunct w:val="0"/>
        <w:autoSpaceDE/>
        <w:autoSpaceDN/>
        <w:bidi w:val="0"/>
        <w:adjustRightInd w:val="0"/>
        <w:snapToGrid w:val="0"/>
        <w:spacing w:before="0" w:after="0" w:line="560" w:lineRule="exact"/>
        <w:textAlignment w:val="auto"/>
        <w:rPr>
          <w:b w:val="0"/>
          <w:bCs/>
          <w:color w:val="C0504D" w:themeColor="accent2"/>
          <w:highlight w:val="none"/>
          <w14:textFill>
            <w14:solidFill>
              <w14:schemeClr w14:val="accent2"/>
            </w14:solidFill>
          </w14:textFill>
        </w:rPr>
      </w:pPr>
    </w:p>
    <w:p w14:paraId="5F7C25F0">
      <w:pPr>
        <w:widowControl w:val="0"/>
        <w:numPr>
          <w:ilvl w:val="0"/>
          <w:numId w:val="0"/>
        </w:numPr>
        <w:jc w:val="both"/>
        <w:rPr>
          <w:b w:val="0"/>
          <w:bCs/>
          <w:color w:val="auto"/>
          <w:highlight w:val="none"/>
        </w:rPr>
      </w:pPr>
    </w:p>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3"/>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3"/>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9"/>
        <w:rPr>
          <w:rFonts w:ascii="Times New Roman" w:hAnsi="Times New Roman" w:cs="Times New Roman"/>
          <w:b w:val="0"/>
          <w:bCs/>
          <w:color w:val="auto"/>
          <w:sz w:val="24"/>
          <w:highlight w:val="none"/>
        </w:rPr>
      </w:pPr>
    </w:p>
    <w:p w14:paraId="4ABEBF2C">
      <w:pPr>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r>
        <w:rPr>
          <w:rFonts w:hint="eastAsia" w:ascii="华文中宋" w:hAnsi="华文中宋" w:eastAsia="华文中宋" w:cs="宋体"/>
          <w:b w:val="0"/>
          <w:bCs/>
          <w:color w:val="auto"/>
          <w:highlight w:val="none"/>
          <w:lang w:eastAsia="zh-CN"/>
        </w:rPr>
        <w:br w:type="page"/>
      </w:r>
    </w:p>
    <w:p w14:paraId="6C9F9578">
      <w:pPr>
        <w:pStyle w:val="3"/>
        <w:pageBreakBefore w:val="0"/>
        <w:widowControl w:val="0"/>
        <w:numPr>
          <w:ilvl w:val="0"/>
          <w:numId w:val="5"/>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2C413321">
      <w:pPr>
        <w:spacing w:before="156" w:beforeLines="50" w:after="156" w:afterLines="50" w:line="360" w:lineRule="auto"/>
        <w:ind w:firstLine="420" w:firstLineChars="200"/>
        <w:jc w:val="both"/>
        <w:rPr>
          <w:rFonts w:hint="eastAsia" w:ascii="宋体" w:hAnsi="宋体" w:eastAsia="宋体" w:cs="宋体"/>
          <w:color w:val="auto"/>
          <w:sz w:val="24"/>
          <w:szCs w:val="24"/>
          <w:lang w:val="en-US" w:eastAsia="zh-CN"/>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76D64784">
      <w:pPr>
        <w:pStyle w:val="9"/>
        <w:spacing w:line="360" w:lineRule="auto"/>
        <w:rPr>
          <w:rFonts w:hint="eastAsia" w:ascii="宋体" w:hAnsi="宋体" w:eastAsia="宋体" w:cs="宋体"/>
          <w:color w:val="auto"/>
          <w:sz w:val="24"/>
          <w:szCs w:val="24"/>
          <w:lang w:val="en-US" w:eastAsia="zh-CN"/>
        </w:rPr>
      </w:pPr>
    </w:p>
    <w:p w14:paraId="26CA00EF">
      <w:pPr>
        <w:bidi w:val="0"/>
        <w:spacing w:line="24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商务</w:t>
      </w:r>
      <w:r>
        <w:rPr>
          <w:rFonts w:hint="eastAsia" w:ascii="宋体" w:hAnsi="宋体" w:eastAsia="宋体" w:cs="宋体"/>
          <w:sz w:val="24"/>
          <w:szCs w:val="24"/>
        </w:rPr>
        <w:t>要求（实质性要求）</w:t>
      </w:r>
    </w:p>
    <w:p w14:paraId="2C2B5073">
      <w:pPr>
        <w:keepNext w:val="0"/>
        <w:keepLines w:val="0"/>
        <w:widowControl/>
        <w:suppressLineNumbers w:val="0"/>
        <w:autoSpaceDE w:val="0"/>
        <w:autoSpaceDN/>
        <w:spacing w:before="0" w:beforeAutospacing="0" w:after="0" w:afterAutospacing="0" w:line="240" w:lineRule="auto"/>
        <w:ind w:left="0" w:right="0" w:firstLine="240" w:firstLineChars="100"/>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lang w:eastAsia="zh-CN"/>
        </w:rPr>
        <w:t>、服务期限要求</w:t>
      </w:r>
    </w:p>
    <w:p w14:paraId="7990D357">
      <w:pPr>
        <w:keepNext w:val="0"/>
        <w:keepLines w:val="0"/>
        <w:widowControl/>
        <w:suppressLineNumbers w:val="0"/>
        <w:autoSpaceDE w:val="0"/>
        <w:autoSpaceDN/>
        <w:spacing w:before="0" w:beforeAutospacing="0" w:after="0" w:afterAutospacing="0" w:line="240" w:lineRule="auto"/>
        <w:ind w:left="239" w:leftChars="114" w:right="0" w:firstLine="0" w:firstLineChars="0"/>
        <w:jc w:val="left"/>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eastAsia="zh-CN"/>
        </w:rPr>
        <w:t>服务期：进场完成现场审计工作</w:t>
      </w:r>
      <w:r>
        <w:rPr>
          <w:rFonts w:hint="eastAsia" w:ascii="宋体" w:hAnsi="宋体" w:eastAsia="宋体" w:cs="宋体"/>
          <w:b w:val="0"/>
          <w:bCs w:val="0"/>
          <w:kern w:val="0"/>
          <w:sz w:val="24"/>
          <w:szCs w:val="24"/>
          <w:lang w:val="en-US" w:eastAsia="zh-CN"/>
        </w:rPr>
        <w:t>，2025年11月25日前提交审计报告。</w:t>
      </w:r>
    </w:p>
    <w:p w14:paraId="3C9F88CD">
      <w:pPr>
        <w:keepNext w:val="0"/>
        <w:keepLines w:val="0"/>
        <w:widowControl/>
        <w:suppressLineNumbers w:val="0"/>
        <w:autoSpaceDE w:val="0"/>
        <w:autoSpaceDN/>
        <w:spacing w:before="0" w:beforeAutospacing="0" w:after="0" w:afterAutospacing="0" w:line="240" w:lineRule="auto"/>
        <w:ind w:left="0" w:right="0" w:firstLine="240" w:firstLineChars="100"/>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2、服务地点：成都市成华区第三人民医院</w:t>
      </w:r>
    </w:p>
    <w:p w14:paraId="169F6B9F">
      <w:pPr>
        <w:keepNext w:val="0"/>
        <w:keepLines w:val="0"/>
        <w:widowControl/>
        <w:suppressLineNumbers w:val="0"/>
        <w:autoSpaceDE w:val="0"/>
        <w:autoSpaceDN/>
        <w:spacing w:before="0" w:beforeAutospacing="0" w:after="0" w:afterAutospacing="0" w:line="240" w:lineRule="auto"/>
        <w:ind w:left="0" w:right="0" w:firstLine="240" w:firstLineChars="100"/>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3、付款方式：收到成交供应商合规票据，完善相关报销手续后15个工作日内转账支付。</w:t>
      </w:r>
    </w:p>
    <w:p w14:paraId="7D043DE6">
      <w:pPr>
        <w:keepNext w:val="0"/>
        <w:keepLines w:val="0"/>
        <w:widowControl/>
        <w:numPr>
          <w:ilvl w:val="0"/>
          <w:numId w:val="0"/>
        </w:numPr>
        <w:suppressLineNumbers w:val="0"/>
        <w:autoSpaceDE w:val="0"/>
        <w:autoSpaceDN/>
        <w:spacing w:before="0" w:beforeAutospacing="0" w:after="0" w:afterAutospacing="0" w:line="240" w:lineRule="auto"/>
        <w:ind w:right="0" w:rightChars="0"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4、验收标准：</w:t>
      </w:r>
    </w:p>
    <w:p w14:paraId="3849C0F8">
      <w:pPr>
        <w:keepNext w:val="0"/>
        <w:keepLines w:val="0"/>
        <w:widowControl/>
        <w:numPr>
          <w:ilvl w:val="0"/>
          <w:numId w:val="0"/>
        </w:numPr>
        <w:suppressLineNumbers w:val="0"/>
        <w:autoSpaceDE w:val="0"/>
        <w:autoSpaceDN/>
        <w:spacing w:before="0" w:beforeAutospacing="0" w:after="0" w:afterAutospacing="0" w:line="240" w:lineRule="auto"/>
        <w:ind w:right="0" w:rightChars="0" w:firstLine="240" w:firstLineChars="100"/>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(1)按照比选文件及成交供应商比选申请文件相关要求进行收。</w:t>
      </w:r>
    </w:p>
    <w:p w14:paraId="1B4C30E9">
      <w:pPr>
        <w:keepNext w:val="0"/>
        <w:keepLines w:val="0"/>
        <w:widowControl/>
        <w:suppressLineNumbers w:val="0"/>
        <w:autoSpaceDE w:val="0"/>
        <w:autoSpaceDN/>
        <w:spacing w:before="0" w:beforeAutospacing="0" w:after="0" w:afterAutospacing="0" w:line="240" w:lineRule="auto"/>
        <w:ind w:left="0" w:right="0" w:firstLine="240" w:firstLineChars="100"/>
        <w:jc w:val="left"/>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(2)验收方法：采购人自行验收。</w:t>
      </w:r>
    </w:p>
    <w:p w14:paraId="612145B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kern w:val="0"/>
          <w:sz w:val="24"/>
          <w:szCs w:val="24"/>
          <w:lang w:val="en-US" w:eastAsia="zh-CN"/>
        </w:rPr>
        <w:t>(3)验收时间：成交供应商按照合同要求出具正式审计报告，验收合格后采购人出具验收合格单据。</w:t>
      </w:r>
    </w:p>
    <w:p w14:paraId="3C743050">
      <w:pPr>
        <w:bidi w:val="0"/>
        <w:spacing w:line="360" w:lineRule="auto"/>
        <w:rPr>
          <w:rFonts w:hint="eastAsia" w:ascii="宋体" w:hAnsi="宋体" w:eastAsia="宋体" w:cs="宋体"/>
          <w:kern w:val="0"/>
          <w:sz w:val="24"/>
          <w:szCs w:val="24"/>
          <w:lang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b w:val="0"/>
          <w:bCs w:val="0"/>
          <w:color w:val="auto"/>
          <w:kern w:val="0"/>
          <w:sz w:val="24"/>
          <w:szCs w:val="24"/>
          <w:lang w:val="en-US" w:eastAsia="zh-CN"/>
        </w:rPr>
        <w:t>、服务要求</w:t>
      </w:r>
      <w:r>
        <w:rPr>
          <w:rFonts w:hint="eastAsia" w:ascii="宋体" w:hAnsi="宋体" w:eastAsia="宋体" w:cs="宋体"/>
          <w:sz w:val="24"/>
          <w:szCs w:val="24"/>
        </w:rPr>
        <w:t>（实质性要求）</w:t>
      </w:r>
    </w:p>
    <w:p w14:paraId="2E0D07DE">
      <w:pPr>
        <w:keepNext w:val="0"/>
        <w:keepLines w:val="0"/>
        <w:widowControl/>
        <w:suppressLineNumbers w:val="0"/>
        <w:autoSpaceDE w:val="0"/>
        <w:autoSpaceDN/>
        <w:spacing w:before="0" w:beforeAutospacing="0" w:after="0" w:afterAutospacing="0" w:line="240" w:lineRule="auto"/>
        <w:ind w:left="0" w:right="0" w:firstLine="240" w:firstLineChars="100"/>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1、审计内容包括但不限于：内控制度建立与执行、会计基础工作、财务管理、资产管理、采购管理、合同签订履行、三重一大、专项资金使用等；</w:t>
      </w:r>
    </w:p>
    <w:p w14:paraId="284EFEAF">
      <w:pPr>
        <w:keepNext w:val="0"/>
        <w:keepLines w:val="0"/>
        <w:widowControl/>
        <w:suppressLineNumbers w:val="0"/>
        <w:autoSpaceDE w:val="0"/>
        <w:autoSpaceDN/>
        <w:spacing w:before="0" w:beforeAutospacing="0" w:after="0" w:afterAutospacing="0" w:line="240" w:lineRule="auto"/>
        <w:ind w:left="0" w:right="0" w:firstLine="240" w:firstLineChars="100"/>
        <w:jc w:val="left"/>
        <w:rPr>
          <w:rFonts w:hint="eastAsia" w:ascii="宋体" w:hAnsi="宋体" w:cs="宋体"/>
          <w:sz w:val="24"/>
          <w:szCs w:val="24"/>
          <w:lang w:eastAsia="zh-CN"/>
        </w:rPr>
      </w:pPr>
      <w:r>
        <w:rPr>
          <w:rFonts w:hint="eastAsia" w:ascii="宋体" w:hAnsi="宋体" w:eastAsia="宋体" w:cs="宋体"/>
          <w:b w:val="0"/>
          <w:bCs w:val="0"/>
          <w:kern w:val="0"/>
          <w:sz w:val="24"/>
          <w:szCs w:val="24"/>
          <w:lang w:val="en-US" w:eastAsia="zh-CN"/>
        </w:rPr>
        <w:t>2、项目工作组现场工作人员不少于3人（</w:t>
      </w:r>
      <w:r>
        <w:rPr>
          <w:rFonts w:ascii="宋体" w:hAnsi="宋体" w:eastAsia="宋体" w:cs="宋体"/>
          <w:sz w:val="24"/>
          <w:szCs w:val="24"/>
        </w:rPr>
        <w:t>必须是本单位的人员</w:t>
      </w:r>
      <w:r>
        <w:rPr>
          <w:rFonts w:hint="eastAsia" w:ascii="宋体" w:hAnsi="宋体" w:eastAsia="宋体" w:cs="宋体"/>
          <w:b w:val="0"/>
          <w:bCs w:val="0"/>
          <w:kern w:val="0"/>
          <w:sz w:val="24"/>
          <w:szCs w:val="24"/>
          <w:lang w:val="en-US" w:eastAsia="zh-CN"/>
        </w:rPr>
        <w:t>），项目负责人为本所执业注册会计师</w:t>
      </w:r>
      <w:r>
        <w:rPr>
          <w:rFonts w:hint="eastAsia" w:ascii="宋体" w:hAnsi="宋体" w:cs="宋体"/>
          <w:sz w:val="24"/>
          <w:szCs w:val="24"/>
          <w:lang w:eastAsia="zh-CN"/>
        </w:rPr>
        <w:t>。</w:t>
      </w:r>
    </w:p>
    <w:p w14:paraId="2C009CF9">
      <w:pPr>
        <w:keepNext w:val="0"/>
        <w:keepLines w:val="0"/>
        <w:widowControl/>
        <w:suppressLineNumbers w:val="0"/>
        <w:autoSpaceDE w:val="0"/>
        <w:autoSpaceDN/>
        <w:spacing w:before="0" w:beforeAutospacing="0" w:after="0" w:afterAutospacing="0" w:line="240" w:lineRule="auto"/>
        <w:ind w:left="0" w:right="0" w:firstLine="240" w:firstLineChars="100"/>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3、现场工作时间不少于5天。</w:t>
      </w:r>
    </w:p>
    <w:p w14:paraId="00C0C2F4">
      <w:pPr>
        <w:keepNext w:val="0"/>
        <w:keepLines w:val="0"/>
        <w:widowControl/>
        <w:suppressLineNumbers w:val="0"/>
        <w:autoSpaceDE w:val="0"/>
        <w:autoSpaceDN/>
        <w:spacing w:before="0" w:beforeAutospacing="0" w:after="0" w:afterAutospacing="0" w:line="240" w:lineRule="auto"/>
        <w:ind w:left="0" w:right="0" w:firstLine="240" w:firstLineChars="100"/>
        <w:jc w:val="left"/>
        <w:rPr>
          <w:rFonts w:hint="eastAsia" w:ascii="宋体" w:hAnsi="宋体" w:eastAsia="宋体" w:cs="宋体"/>
          <w:b w:val="0"/>
          <w:bCs w:val="0"/>
          <w:kern w:val="0"/>
          <w:sz w:val="24"/>
          <w:szCs w:val="24"/>
          <w:lang w:val="en-US" w:eastAsia="zh-CN"/>
        </w:rPr>
      </w:pPr>
    </w:p>
    <w:p w14:paraId="4D8C4F1A">
      <w:pPr>
        <w:bidi w:val="0"/>
        <w:spacing w:line="360" w:lineRule="auto"/>
        <w:rPr>
          <w:rFonts w:hint="eastAsia" w:ascii="宋体" w:hAnsi="宋体" w:eastAsia="宋体" w:cs="宋体"/>
          <w:kern w:val="0"/>
          <w:sz w:val="24"/>
          <w:szCs w:val="24"/>
          <w:lang w:val="en-US" w:eastAsia="zh-CN" w:bidi="ar"/>
        </w:rPr>
      </w:pPr>
    </w:p>
    <w:p w14:paraId="5EA7F5E1">
      <w:pPr>
        <w:bidi w:val="0"/>
        <w:spacing w:line="360" w:lineRule="auto"/>
        <w:rPr>
          <w:rFonts w:hint="default" w:ascii="宋体" w:hAnsi="宋体" w:cs="宋体"/>
          <w:kern w:val="0"/>
          <w:sz w:val="24"/>
          <w:lang w:val="en-US" w:eastAsia="zh-CN" w:bidi="ar"/>
        </w:rPr>
      </w:pPr>
    </w:p>
    <w:p w14:paraId="71D79E87">
      <w:pPr>
        <w:spacing w:line="400" w:lineRule="exact"/>
        <w:ind w:firstLine="0" w:firstLineChars="0"/>
        <w:rPr>
          <w:rFonts w:hint="eastAsia"/>
          <w:color w:val="auto"/>
          <w:sz w:val="20"/>
          <w:szCs w:val="20"/>
          <w:lang w:val="en-US" w:eastAsia="zh-CN"/>
        </w:rPr>
      </w:pPr>
    </w:p>
    <w:p w14:paraId="412C100A">
      <w:pPr>
        <w:pStyle w:val="9"/>
        <w:keepNext w:val="0"/>
        <w:keepLines w:val="0"/>
        <w:pageBreakBefore w:val="0"/>
        <w:widowControl w:val="0"/>
        <w:kinsoku/>
        <w:wordWrap/>
        <w:overflowPunct/>
        <w:topLinePunct w:val="0"/>
        <w:autoSpaceDE/>
        <w:autoSpaceDN/>
        <w:bidi w:val="0"/>
        <w:adjustRightInd/>
        <w:snapToGrid/>
        <w:spacing w:after="0"/>
        <w:ind w:firstLine="400" w:firstLineChars="200"/>
        <w:textAlignment w:val="auto"/>
        <w:rPr>
          <w:rFonts w:hint="eastAsia" w:ascii="宋体" w:hAnsi="宋体" w:eastAsia="宋体" w:cs="宋体"/>
          <w:color w:val="auto"/>
          <w:sz w:val="20"/>
          <w:szCs w:val="20"/>
          <w:lang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4"/>
          <w:jc w:val="center"/>
        </w:pPr>
        <w:r>
          <w:t xml:space="preserve">     </w:t>
        </w:r>
      </w:p>
    </w:sdtContent>
  </w:sdt>
  <w:p w14:paraId="6EF5F4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5"/>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62DAF"/>
    <w:multiLevelType w:val="singleLevel"/>
    <w:tmpl w:val="11462DAF"/>
    <w:lvl w:ilvl="0" w:tentative="0">
      <w:start w:val="6"/>
      <w:numFmt w:val="chineseCounting"/>
      <w:suff w:val="nothing"/>
      <w:lvlText w:val="%1、"/>
      <w:lvlJc w:val="left"/>
      <w:rPr>
        <w:rFonts w:hint="eastAsia"/>
      </w:rPr>
    </w:lvl>
  </w:abstractNum>
  <w:abstractNum w:abstractNumId="1">
    <w:nsid w:val="1E1A7C43"/>
    <w:multiLevelType w:val="singleLevel"/>
    <w:tmpl w:val="1E1A7C43"/>
    <w:lvl w:ilvl="0" w:tentative="0">
      <w:start w:val="1"/>
      <w:numFmt w:val="chineseCounting"/>
      <w:suff w:val="nothing"/>
      <w:lvlText w:val="%1、"/>
      <w:lvlJc w:val="left"/>
      <w:rPr>
        <w:rFonts w:hint="eastAsia"/>
      </w:r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2CDAC"/>
    <w:multiLevelType w:val="singleLevel"/>
    <w:tmpl w:val="6D42CDAC"/>
    <w:lvl w:ilvl="0" w:tentative="0">
      <w:start w:val="5"/>
      <w:numFmt w:val="chineseCounting"/>
      <w:suff w:val="space"/>
      <w:lvlText w:val="第%1章"/>
      <w:lvlJc w:val="left"/>
      <w:rPr>
        <w:rFonts w:hint="eastAsia"/>
      </w:rPr>
    </w:lvl>
  </w:abstractNum>
  <w:abstractNum w:abstractNumId="4">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zNzMxNTgzNTVhNzFiMWIyZDVmNTIyNmUwMGE4NDI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48A77B1"/>
    <w:rsid w:val="051754CD"/>
    <w:rsid w:val="05542851"/>
    <w:rsid w:val="06C81401"/>
    <w:rsid w:val="06D36770"/>
    <w:rsid w:val="0711124A"/>
    <w:rsid w:val="08467869"/>
    <w:rsid w:val="085B3E17"/>
    <w:rsid w:val="08DC37DB"/>
    <w:rsid w:val="097F4579"/>
    <w:rsid w:val="09C05D60"/>
    <w:rsid w:val="0A797252"/>
    <w:rsid w:val="0B282708"/>
    <w:rsid w:val="0BFE1721"/>
    <w:rsid w:val="0C0F5B99"/>
    <w:rsid w:val="0CCE7C56"/>
    <w:rsid w:val="0D1A44CC"/>
    <w:rsid w:val="0D3A5A37"/>
    <w:rsid w:val="0E2945A7"/>
    <w:rsid w:val="101912FD"/>
    <w:rsid w:val="10200EC6"/>
    <w:rsid w:val="10AF3276"/>
    <w:rsid w:val="129D558E"/>
    <w:rsid w:val="149608B1"/>
    <w:rsid w:val="15463D6E"/>
    <w:rsid w:val="155B35A5"/>
    <w:rsid w:val="159F277F"/>
    <w:rsid w:val="16347F42"/>
    <w:rsid w:val="172272E9"/>
    <w:rsid w:val="188C50AE"/>
    <w:rsid w:val="1902311C"/>
    <w:rsid w:val="1AB322CA"/>
    <w:rsid w:val="1B8C25A3"/>
    <w:rsid w:val="1C9E68A1"/>
    <w:rsid w:val="1CA31112"/>
    <w:rsid w:val="1CAC5EAA"/>
    <w:rsid w:val="1D463772"/>
    <w:rsid w:val="1EFF6387"/>
    <w:rsid w:val="1F5C23BA"/>
    <w:rsid w:val="1F812D91"/>
    <w:rsid w:val="206E5E16"/>
    <w:rsid w:val="20A56B8C"/>
    <w:rsid w:val="20E63B1D"/>
    <w:rsid w:val="229A3AC8"/>
    <w:rsid w:val="22D73A37"/>
    <w:rsid w:val="231815A0"/>
    <w:rsid w:val="23610439"/>
    <w:rsid w:val="23AE17B1"/>
    <w:rsid w:val="241362F0"/>
    <w:rsid w:val="24B83ED3"/>
    <w:rsid w:val="25201851"/>
    <w:rsid w:val="25385CE0"/>
    <w:rsid w:val="269C7350"/>
    <w:rsid w:val="26E95E27"/>
    <w:rsid w:val="27081DFA"/>
    <w:rsid w:val="2AE05660"/>
    <w:rsid w:val="2B841E40"/>
    <w:rsid w:val="2BCD3BBB"/>
    <w:rsid w:val="2BDD02B4"/>
    <w:rsid w:val="2C403EFD"/>
    <w:rsid w:val="2C8066E3"/>
    <w:rsid w:val="2E570437"/>
    <w:rsid w:val="2EAD27C8"/>
    <w:rsid w:val="2EB63029"/>
    <w:rsid w:val="2F032BB6"/>
    <w:rsid w:val="2F392A40"/>
    <w:rsid w:val="2FF373FB"/>
    <w:rsid w:val="313C4539"/>
    <w:rsid w:val="31856345"/>
    <w:rsid w:val="31B91B44"/>
    <w:rsid w:val="31E43583"/>
    <w:rsid w:val="32843AED"/>
    <w:rsid w:val="34121EA2"/>
    <w:rsid w:val="346804F6"/>
    <w:rsid w:val="34EA313E"/>
    <w:rsid w:val="36BC7FA8"/>
    <w:rsid w:val="372A5E3E"/>
    <w:rsid w:val="39000741"/>
    <w:rsid w:val="39365B0D"/>
    <w:rsid w:val="39A808F8"/>
    <w:rsid w:val="3A2A4235"/>
    <w:rsid w:val="3ACC18ED"/>
    <w:rsid w:val="3BA92137"/>
    <w:rsid w:val="3D2B20B4"/>
    <w:rsid w:val="3DD3122F"/>
    <w:rsid w:val="3DEF40D0"/>
    <w:rsid w:val="3E012549"/>
    <w:rsid w:val="3E0C2145"/>
    <w:rsid w:val="3E7762B4"/>
    <w:rsid w:val="3EE406BB"/>
    <w:rsid w:val="3EF35162"/>
    <w:rsid w:val="3F035D9A"/>
    <w:rsid w:val="3F767FC2"/>
    <w:rsid w:val="3F81497E"/>
    <w:rsid w:val="3FD0182D"/>
    <w:rsid w:val="4052349C"/>
    <w:rsid w:val="42FE1F85"/>
    <w:rsid w:val="4319774A"/>
    <w:rsid w:val="448422CE"/>
    <w:rsid w:val="44DB08FC"/>
    <w:rsid w:val="455E1D85"/>
    <w:rsid w:val="46812E6C"/>
    <w:rsid w:val="48F77EEE"/>
    <w:rsid w:val="48FF71E3"/>
    <w:rsid w:val="4AEA33F6"/>
    <w:rsid w:val="4B761710"/>
    <w:rsid w:val="4BAB06C9"/>
    <w:rsid w:val="4BAC45CF"/>
    <w:rsid w:val="4BB61845"/>
    <w:rsid w:val="4C137B6B"/>
    <w:rsid w:val="4C596FC9"/>
    <w:rsid w:val="4DF87722"/>
    <w:rsid w:val="4FF24BD6"/>
    <w:rsid w:val="501F1846"/>
    <w:rsid w:val="50D0493D"/>
    <w:rsid w:val="529A362A"/>
    <w:rsid w:val="5343527B"/>
    <w:rsid w:val="536129AF"/>
    <w:rsid w:val="5679B306"/>
    <w:rsid w:val="56CD5039"/>
    <w:rsid w:val="58274A6F"/>
    <w:rsid w:val="58CB6FFF"/>
    <w:rsid w:val="59167285"/>
    <w:rsid w:val="59735F4E"/>
    <w:rsid w:val="5A42058A"/>
    <w:rsid w:val="5BB83D2C"/>
    <w:rsid w:val="5D4A00F8"/>
    <w:rsid w:val="5DBDD602"/>
    <w:rsid w:val="5DC30102"/>
    <w:rsid w:val="5EB8303A"/>
    <w:rsid w:val="5F36452D"/>
    <w:rsid w:val="5FEA0EA6"/>
    <w:rsid w:val="60594F9B"/>
    <w:rsid w:val="60F60E2D"/>
    <w:rsid w:val="61EF118E"/>
    <w:rsid w:val="62A31D69"/>
    <w:rsid w:val="62F9390F"/>
    <w:rsid w:val="63B46602"/>
    <w:rsid w:val="63DA3979"/>
    <w:rsid w:val="64C27A05"/>
    <w:rsid w:val="655C7569"/>
    <w:rsid w:val="65754FED"/>
    <w:rsid w:val="661C3DCF"/>
    <w:rsid w:val="66520535"/>
    <w:rsid w:val="6679113E"/>
    <w:rsid w:val="66A43168"/>
    <w:rsid w:val="67412A0B"/>
    <w:rsid w:val="684618CA"/>
    <w:rsid w:val="69440401"/>
    <w:rsid w:val="69F2682A"/>
    <w:rsid w:val="6B3130F7"/>
    <w:rsid w:val="6BC604C0"/>
    <w:rsid w:val="6C6275A3"/>
    <w:rsid w:val="6C67369A"/>
    <w:rsid w:val="6C754E65"/>
    <w:rsid w:val="6C985B10"/>
    <w:rsid w:val="6D0B2F6C"/>
    <w:rsid w:val="6F085F6C"/>
    <w:rsid w:val="6FA40D24"/>
    <w:rsid w:val="6FC15FF0"/>
    <w:rsid w:val="6FCA33BD"/>
    <w:rsid w:val="71091088"/>
    <w:rsid w:val="710A69C8"/>
    <w:rsid w:val="714E4ED0"/>
    <w:rsid w:val="72742759"/>
    <w:rsid w:val="745A256D"/>
    <w:rsid w:val="74EB625C"/>
    <w:rsid w:val="76786537"/>
    <w:rsid w:val="76FC64FF"/>
    <w:rsid w:val="77194C05"/>
    <w:rsid w:val="77582795"/>
    <w:rsid w:val="781972FB"/>
    <w:rsid w:val="791A4728"/>
    <w:rsid w:val="7A2E0421"/>
    <w:rsid w:val="7AC44802"/>
    <w:rsid w:val="7B76161A"/>
    <w:rsid w:val="7B9F4830"/>
    <w:rsid w:val="7BB560C5"/>
    <w:rsid w:val="7BC63A93"/>
    <w:rsid w:val="7CB7326C"/>
    <w:rsid w:val="7D0E3BC5"/>
    <w:rsid w:val="7DB65260"/>
    <w:rsid w:val="7FB9148B"/>
    <w:rsid w:val="7FFE5900"/>
    <w:rsid w:val="B49BE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4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5"/>
    <w:semiHidden/>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39"/>
    <w:semiHidden/>
    <w:unhideWhenUsed/>
    <w:qFormat/>
    <w:uiPriority w:val="99"/>
    <w:rPr>
      <w:rFonts w:ascii="宋体" w:eastAsia="宋体"/>
      <w:sz w:val="18"/>
      <w:szCs w:val="18"/>
    </w:rPr>
  </w:style>
  <w:style w:type="paragraph" w:styleId="8">
    <w:name w:val="annotation text"/>
    <w:basedOn w:val="1"/>
    <w:link w:val="32"/>
    <w:semiHidden/>
    <w:unhideWhenUsed/>
    <w:qFormat/>
    <w:uiPriority w:val="99"/>
    <w:pPr>
      <w:jc w:val="left"/>
    </w:pPr>
  </w:style>
  <w:style w:type="paragraph" w:styleId="9">
    <w:name w:val="Body Text"/>
    <w:basedOn w:val="1"/>
    <w:next w:val="1"/>
    <w:link w:val="43"/>
    <w:semiHidden/>
    <w:unhideWhenUsed/>
    <w:qFormat/>
    <w:uiPriority w:val="99"/>
    <w:pPr>
      <w:spacing w:after="120"/>
    </w:pPr>
  </w:style>
  <w:style w:type="paragraph" w:styleId="10">
    <w:name w:val="Body Text Indent"/>
    <w:basedOn w:val="1"/>
    <w:link w:val="42"/>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3"/>
    <w:qFormat/>
    <w:uiPriority w:val="99"/>
    <w:pPr>
      <w:autoSpaceDE w:val="0"/>
      <w:autoSpaceDN w:val="0"/>
      <w:adjustRightInd w:val="0"/>
    </w:pPr>
    <w:rPr>
      <w:rFonts w:hint="eastAsia" w:hAnsi="Tms Rmn"/>
    </w:rPr>
  </w:style>
  <w:style w:type="paragraph" w:styleId="12">
    <w:name w:val="Date"/>
    <w:basedOn w:val="1"/>
    <w:next w:val="1"/>
    <w:link w:val="46"/>
    <w:semiHidden/>
    <w:unhideWhenUsed/>
    <w:qFormat/>
    <w:uiPriority w:val="99"/>
    <w:pPr>
      <w:ind w:left="100" w:leftChars="2500"/>
    </w:pPr>
  </w:style>
  <w:style w:type="paragraph" w:styleId="13">
    <w:name w:val="Balloon Text"/>
    <w:basedOn w:val="1"/>
    <w:link w:val="34"/>
    <w:semiHidden/>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48"/>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8"/>
    <w:next w:val="8"/>
    <w:link w:val="37"/>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style>
  <w:style w:type="character" w:styleId="26">
    <w:name w:val="Hyperlink"/>
    <w:basedOn w:val="22"/>
    <w:unhideWhenUsed/>
    <w:qFormat/>
    <w:uiPriority w:val="99"/>
    <w:rPr>
      <w:color w:val="0000FF" w:themeColor="hyperlink"/>
      <w:u w:val="single"/>
      <w14:textFill>
        <w14:solidFill>
          <w14:schemeClr w14:val="hlink"/>
        </w14:solidFill>
      </w14:textFill>
    </w:rPr>
  </w:style>
  <w:style w:type="character" w:styleId="27">
    <w:name w:val="HTML Code"/>
    <w:basedOn w:val="22"/>
    <w:semiHidden/>
    <w:unhideWhenUsed/>
    <w:qFormat/>
    <w:uiPriority w:val="99"/>
    <w:rPr>
      <w:rFonts w:hint="default" w:ascii="var(--bs-font-monospace)" w:hAnsi="var(--bs-font-monospace)" w:eastAsia="var(--bs-font-monospace)" w:cs="var(--bs-font-monospace)"/>
      <w:sz w:val="18"/>
      <w:szCs w:val="18"/>
    </w:rPr>
  </w:style>
  <w:style w:type="character" w:styleId="28">
    <w:name w:val="annotation reference"/>
    <w:basedOn w:val="22"/>
    <w:unhideWhenUsed/>
    <w:qFormat/>
    <w:uiPriority w:val="0"/>
    <w:rPr>
      <w:sz w:val="21"/>
      <w:szCs w:val="21"/>
    </w:rPr>
  </w:style>
  <w:style w:type="character" w:styleId="29">
    <w:name w:val="HTML Keyboard"/>
    <w:basedOn w:val="22"/>
    <w:semiHidden/>
    <w:unhideWhenUsed/>
    <w:qFormat/>
    <w:uiPriority w:val="99"/>
    <w:rPr>
      <w:rFonts w:hint="default" w:ascii="var(--bs-font-monospace)" w:hAnsi="var(--bs-font-monospace)" w:eastAsia="var(--bs-font-monospace)" w:cs="var(--bs-font-monospace)"/>
      <w:sz w:val="18"/>
      <w:szCs w:val="18"/>
    </w:rPr>
  </w:style>
  <w:style w:type="character" w:styleId="30">
    <w:name w:val="HTML Sample"/>
    <w:basedOn w:val="22"/>
    <w:semiHidden/>
    <w:unhideWhenUsed/>
    <w:qFormat/>
    <w:uiPriority w:val="99"/>
    <w:rPr>
      <w:rFonts w:ascii="var(--bs-font-monospace)" w:hAnsi="var(--bs-font-monospace)" w:eastAsia="var(--bs-font-monospace)" w:cs="var(--bs-font-monospace)"/>
      <w:sz w:val="21"/>
      <w:szCs w:val="21"/>
    </w:rPr>
  </w:style>
  <w:style w:type="character" w:customStyle="1" w:styleId="31">
    <w:name w:val="标题 1 字符"/>
    <w:basedOn w:val="22"/>
    <w:link w:val="2"/>
    <w:qFormat/>
    <w:uiPriority w:val="9"/>
    <w:rPr>
      <w:rFonts w:asciiTheme="minorHAnsi" w:hAnsiTheme="minorHAnsi" w:eastAsiaTheme="minorEastAsia" w:cstheme="minorBidi"/>
      <w:b/>
      <w:bCs/>
      <w:kern w:val="44"/>
      <w:sz w:val="44"/>
      <w:szCs w:val="44"/>
    </w:rPr>
  </w:style>
  <w:style w:type="character" w:customStyle="1" w:styleId="32">
    <w:name w:val="批注文字 字符"/>
    <w:basedOn w:val="22"/>
    <w:link w:val="8"/>
    <w:semiHidden/>
    <w:qFormat/>
    <w:uiPriority w:val="99"/>
  </w:style>
  <w:style w:type="character" w:customStyle="1" w:styleId="33">
    <w:name w:val="纯文本 字符"/>
    <w:basedOn w:val="22"/>
    <w:link w:val="11"/>
    <w:qFormat/>
    <w:uiPriority w:val="99"/>
    <w:rPr>
      <w:rFonts w:hAnsi="Tms Rmn"/>
      <w:kern w:val="2"/>
      <w:sz w:val="21"/>
      <w:szCs w:val="22"/>
    </w:rPr>
  </w:style>
  <w:style w:type="character" w:customStyle="1" w:styleId="34">
    <w:name w:val="批注框文本 字符"/>
    <w:basedOn w:val="22"/>
    <w:link w:val="13"/>
    <w:semiHidden/>
    <w:qFormat/>
    <w:uiPriority w:val="99"/>
    <w:rPr>
      <w:sz w:val="18"/>
      <w:szCs w:val="18"/>
    </w:rPr>
  </w:style>
  <w:style w:type="character" w:customStyle="1" w:styleId="35">
    <w:name w:val="页脚 字符"/>
    <w:basedOn w:val="22"/>
    <w:link w:val="14"/>
    <w:qFormat/>
    <w:uiPriority w:val="99"/>
    <w:rPr>
      <w:sz w:val="18"/>
      <w:szCs w:val="18"/>
    </w:rPr>
  </w:style>
  <w:style w:type="character" w:customStyle="1" w:styleId="36">
    <w:name w:val="页眉 字符"/>
    <w:basedOn w:val="22"/>
    <w:link w:val="15"/>
    <w:qFormat/>
    <w:uiPriority w:val="99"/>
    <w:rPr>
      <w:sz w:val="18"/>
      <w:szCs w:val="18"/>
    </w:rPr>
  </w:style>
  <w:style w:type="character" w:customStyle="1" w:styleId="37">
    <w:name w:val="批注主题 字符"/>
    <w:basedOn w:val="32"/>
    <w:link w:val="19"/>
    <w:semiHidden/>
    <w:qFormat/>
    <w:uiPriority w:val="99"/>
    <w:rPr>
      <w:b/>
      <w:bCs/>
    </w:rPr>
  </w:style>
  <w:style w:type="paragraph" w:styleId="38">
    <w:name w:val="List Paragraph"/>
    <w:basedOn w:val="1"/>
    <w:qFormat/>
    <w:uiPriority w:val="34"/>
    <w:pPr>
      <w:ind w:firstLine="420" w:firstLineChars="200"/>
    </w:pPr>
  </w:style>
  <w:style w:type="character" w:customStyle="1" w:styleId="39">
    <w:name w:val="文档结构图 字符"/>
    <w:basedOn w:val="22"/>
    <w:link w:val="7"/>
    <w:semiHidden/>
    <w:qFormat/>
    <w:uiPriority w:val="99"/>
    <w:rPr>
      <w:rFonts w:ascii="宋体" w:eastAsia="宋体"/>
      <w:kern w:val="2"/>
      <w:sz w:val="18"/>
      <w:szCs w:val="18"/>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标题 2 字符"/>
    <w:basedOn w:val="22"/>
    <w:link w:val="3"/>
    <w:qFormat/>
    <w:uiPriority w:val="0"/>
    <w:rPr>
      <w:rFonts w:hAnsi="宋体" w:cs="Arial"/>
      <w:b/>
      <w:bCs/>
      <w:iCs/>
      <w:kern w:val="2"/>
      <w:sz w:val="28"/>
      <w:szCs w:val="28"/>
    </w:rPr>
  </w:style>
  <w:style w:type="character" w:customStyle="1" w:styleId="42">
    <w:name w:val="正文文本缩进 字符"/>
    <w:basedOn w:val="22"/>
    <w:link w:val="10"/>
    <w:qFormat/>
    <w:uiPriority w:val="0"/>
    <w:rPr>
      <w:kern w:val="2"/>
      <w:sz w:val="30"/>
      <w:szCs w:val="24"/>
    </w:rPr>
  </w:style>
  <w:style w:type="character" w:customStyle="1" w:styleId="43">
    <w:name w:val="正文文本 字符"/>
    <w:basedOn w:val="22"/>
    <w:link w:val="9"/>
    <w:semiHidden/>
    <w:qFormat/>
    <w:uiPriority w:val="99"/>
    <w:rPr>
      <w:rFonts w:asciiTheme="minorHAnsi" w:hAnsiTheme="minorHAnsi" w:eastAsiaTheme="minorEastAsia" w:cstheme="minorBidi"/>
      <w:kern w:val="2"/>
      <w:sz w:val="21"/>
      <w:szCs w:val="22"/>
    </w:rPr>
  </w:style>
  <w:style w:type="character" w:customStyle="1" w:styleId="44">
    <w:name w:val="标题 3 字符"/>
    <w:basedOn w:val="22"/>
    <w:link w:val="4"/>
    <w:qFormat/>
    <w:uiPriority w:val="9"/>
    <w:rPr>
      <w:rFonts w:asciiTheme="minorHAnsi" w:hAnsiTheme="minorHAnsi" w:eastAsiaTheme="minorEastAsia" w:cstheme="minorBidi"/>
      <w:b/>
      <w:bCs/>
      <w:kern w:val="2"/>
      <w:sz w:val="32"/>
      <w:szCs w:val="32"/>
    </w:rPr>
  </w:style>
  <w:style w:type="character" w:customStyle="1" w:styleId="45">
    <w:name w:val="标题 5 字符"/>
    <w:basedOn w:val="22"/>
    <w:link w:val="6"/>
    <w:semiHidden/>
    <w:qFormat/>
    <w:uiPriority w:val="9"/>
    <w:rPr>
      <w:rFonts w:asciiTheme="minorHAnsi" w:hAnsiTheme="minorHAnsi" w:eastAsiaTheme="minorEastAsia" w:cstheme="minorBidi"/>
      <w:b/>
      <w:bCs/>
      <w:kern w:val="2"/>
      <w:sz w:val="28"/>
      <w:szCs w:val="28"/>
    </w:rPr>
  </w:style>
  <w:style w:type="character" w:customStyle="1" w:styleId="46">
    <w:name w:val="日期 字符"/>
    <w:basedOn w:val="22"/>
    <w:link w:val="12"/>
    <w:semiHidden/>
    <w:qFormat/>
    <w:uiPriority w:val="99"/>
    <w:rPr>
      <w:rFonts w:asciiTheme="minorHAnsi" w:hAnsiTheme="minorHAnsi" w:eastAsiaTheme="minorEastAsia" w:cstheme="minorBidi"/>
      <w:kern w:val="2"/>
      <w:sz w:val="21"/>
      <w:szCs w:val="22"/>
    </w:rPr>
  </w:style>
  <w:style w:type="paragraph" w:customStyle="1" w:styleId="47">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标题 字符"/>
    <w:basedOn w:val="22"/>
    <w:link w:val="18"/>
    <w:qFormat/>
    <w:uiPriority w:val="10"/>
    <w:rPr>
      <w:rFonts w:asciiTheme="majorHAnsi" w:hAnsiTheme="majorHAnsi" w:cstheme="majorBidi"/>
      <w:b/>
      <w:bCs/>
      <w:kern w:val="2"/>
      <w:sz w:val="32"/>
      <w:szCs w:val="32"/>
    </w:rPr>
  </w:style>
  <w:style w:type="character" w:customStyle="1" w:styleId="49">
    <w:name w:val="标题 4 字符"/>
    <w:basedOn w:val="22"/>
    <w:link w:val="5"/>
    <w:qFormat/>
    <w:uiPriority w:val="9"/>
    <w:rPr>
      <w:rFonts w:asciiTheme="majorHAnsi" w:hAnsiTheme="majorHAnsi" w:eastAsiaTheme="majorEastAsia" w:cstheme="majorBidi"/>
      <w:b/>
      <w:bCs/>
      <w:kern w:val="2"/>
      <w:sz w:val="28"/>
      <w:szCs w:val="28"/>
    </w:rPr>
  </w:style>
  <w:style w:type="character" w:customStyle="1" w:styleId="50">
    <w:name w:val="font71"/>
    <w:basedOn w:val="22"/>
    <w:qFormat/>
    <w:uiPriority w:val="0"/>
    <w:rPr>
      <w:rFonts w:hint="eastAsia" w:ascii="宋体" w:hAnsi="宋体" w:eastAsia="宋体" w:cs="宋体"/>
      <w:color w:val="000000"/>
      <w:sz w:val="20"/>
      <w:szCs w:val="20"/>
      <w:u w:val="none"/>
    </w:rPr>
  </w:style>
  <w:style w:type="character" w:customStyle="1" w:styleId="51">
    <w:name w:val="font101"/>
    <w:basedOn w:val="22"/>
    <w:qFormat/>
    <w:uiPriority w:val="0"/>
    <w:rPr>
      <w:rFonts w:hint="eastAsia" w:ascii="宋体" w:hAnsi="宋体" w:eastAsia="宋体" w:cs="宋体"/>
      <w:b/>
      <w:bCs/>
      <w:color w:val="FF0000"/>
      <w:sz w:val="20"/>
      <w:szCs w:val="20"/>
      <w:u w:val="none"/>
    </w:rPr>
  </w:style>
  <w:style w:type="character" w:customStyle="1" w:styleId="52">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3">
    <w:name w:val="GW-正文"/>
    <w:basedOn w:val="1"/>
    <w:qFormat/>
    <w:uiPriority w:val="0"/>
    <w:pPr>
      <w:spacing w:line="360" w:lineRule="auto"/>
      <w:ind w:firstLine="200" w:firstLineChars="200"/>
    </w:pPr>
    <w:rPr>
      <w:rFonts w:eastAsia="仿宋_GB2312"/>
      <w:sz w:val="24"/>
    </w:rPr>
  </w:style>
  <w:style w:type="character" w:customStyle="1" w:styleId="54">
    <w:name w:val="layui-laypage-curr"/>
    <w:basedOn w:val="22"/>
    <w:qFormat/>
    <w:uiPriority w:val="0"/>
  </w:style>
  <w:style w:type="character" w:customStyle="1" w:styleId="55">
    <w:name w:val="font11"/>
    <w:basedOn w:val="22"/>
    <w:qFormat/>
    <w:uiPriority w:val="0"/>
    <w:rPr>
      <w:rFonts w:hint="eastAsia" w:ascii="宋体" w:hAnsi="宋体" w:eastAsia="宋体" w:cs="宋体"/>
      <w:color w:val="000000"/>
      <w:sz w:val="20"/>
      <w:szCs w:val="20"/>
      <w:u w:val="none"/>
    </w:rPr>
  </w:style>
  <w:style w:type="character" w:customStyle="1" w:styleId="56">
    <w:name w:val="font01"/>
    <w:basedOn w:val="22"/>
    <w:qFormat/>
    <w:uiPriority w:val="0"/>
    <w:rPr>
      <w:rFonts w:hint="eastAsia" w:ascii="宋体" w:hAnsi="宋体" w:eastAsia="宋体" w:cs="宋体"/>
      <w:color w:val="000000"/>
      <w:sz w:val="24"/>
      <w:szCs w:val="24"/>
      <w:u w:val="none"/>
    </w:rPr>
  </w:style>
  <w:style w:type="character" w:customStyle="1" w:styleId="57">
    <w:name w:val="font21"/>
    <w:basedOn w:val="22"/>
    <w:qFormat/>
    <w:uiPriority w:val="0"/>
    <w:rPr>
      <w:rFonts w:hint="eastAsia" w:ascii="方正仿宋简体" w:hAnsi="方正仿宋简体" w:eastAsia="方正仿宋简体" w:cs="方正仿宋简体"/>
      <w:color w:val="000000"/>
      <w:sz w:val="24"/>
      <w:szCs w:val="24"/>
      <w:u w:val="none"/>
    </w:rPr>
  </w:style>
  <w:style w:type="paragraph" w:customStyle="1" w:styleId="58">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6475</Words>
  <Characters>6711</Characters>
  <Lines>52</Lines>
  <Paragraphs>14</Paragraphs>
  <TotalTime>1</TotalTime>
  <ScaleCrop>false</ScaleCrop>
  <LinksUpToDate>false</LinksUpToDate>
  <CharactersWithSpaces>6926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2023-10-26T04:53:00Z</dcterms:created>
  <dc:creator>LJY</dc:creator>
  <cp:lastModifiedBy>三医院采购办</cp:lastModifiedBy>
  <cp:lastPrinted>2023-11-24T01:55:00Z</cp:lastPrinted>
  <dcterms:modified xsi:type="dcterms:W3CDTF">2025-11-04T08:54:28Z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6D9D7F75727B458A9CDA99508097924D</vt:lpwstr>
  </property>
  <property fmtid="{D5CDD505-2E9C-101B-9397-08002B2CF9AE}" pid="4" name="KSOTemplateDocerSaveRecord">
    <vt:lpwstr>eyJoZGlkIjoiN2Q0ZTU3NjE0NGYyYjM2OWFlODU3NjQ3OGYwMGVlOGEiLCJ1c2VySWQiOiIxNjYzNTYyNDQ4In0=</vt:lpwstr>
  </property>
</Properties>
</file>